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A3" w:rsidRPr="00AB7FE7" w:rsidRDefault="002129A3" w:rsidP="002129A3">
      <w:pPr>
        <w:keepNext/>
        <w:overflowPunct w:val="0"/>
        <w:autoSpaceDE w:val="0"/>
        <w:autoSpaceDN w:val="0"/>
        <w:adjustRightInd w:val="0"/>
        <w:ind w:right="26" w:firstLine="720"/>
        <w:jc w:val="center"/>
        <w:textAlignment w:val="baseline"/>
        <w:outlineLvl w:val="2"/>
        <w:rPr>
          <w:b/>
          <w:i/>
          <w:szCs w:val="20"/>
        </w:rPr>
      </w:pPr>
      <w:r w:rsidRPr="00AB7FE7">
        <w:rPr>
          <w:b/>
          <w:i/>
          <w:szCs w:val="20"/>
        </w:rPr>
        <w:t>Декларация образец № 3 «Данни за здравно осигуряване на лица, осигурени от държавния бюджет»</w:t>
      </w:r>
    </w:p>
    <w:p w:rsidR="002129A3" w:rsidRDefault="002129A3" w:rsidP="002129A3">
      <w:pPr>
        <w:ind w:right="-874"/>
        <w:jc w:val="center"/>
        <w:rPr>
          <w:sz w:val="28"/>
        </w:rPr>
      </w:pPr>
    </w:p>
    <w:p w:rsidR="002129A3" w:rsidRDefault="002129A3" w:rsidP="002129A3">
      <w:pPr>
        <w:keepNext/>
        <w:overflowPunct w:val="0"/>
        <w:autoSpaceDE w:val="0"/>
        <w:autoSpaceDN w:val="0"/>
        <w:adjustRightInd w:val="0"/>
        <w:ind w:right="26" w:firstLine="720"/>
        <w:jc w:val="both"/>
        <w:textAlignment w:val="baseline"/>
        <w:outlineLvl w:val="2"/>
        <w:rPr>
          <w:b/>
        </w:rPr>
      </w:pPr>
      <w:r w:rsidRPr="00677C0C">
        <w:rPr>
          <w:b/>
        </w:rPr>
        <w:t>І.</w:t>
      </w:r>
      <w:r>
        <w:t xml:space="preserve"> </w:t>
      </w:r>
      <w:r w:rsidRPr="002E7C08">
        <w:rPr>
          <w:b/>
          <w:szCs w:val="20"/>
        </w:rPr>
        <w:t xml:space="preserve">Наименование и уникален идентификатор съгласно Регистъра на </w:t>
      </w:r>
      <w:r w:rsidRPr="002E7C08">
        <w:rPr>
          <w:b/>
        </w:rPr>
        <w:t>услугите, част от Административния регистър на Интегрираната информационна система на държавната администрация (ИИСДА)</w:t>
      </w:r>
    </w:p>
    <w:p w:rsidR="002129A3" w:rsidRPr="002E7C08" w:rsidRDefault="002129A3" w:rsidP="002129A3">
      <w:pPr>
        <w:keepNext/>
        <w:overflowPunct w:val="0"/>
        <w:autoSpaceDE w:val="0"/>
        <w:autoSpaceDN w:val="0"/>
        <w:adjustRightInd w:val="0"/>
        <w:ind w:right="26" w:firstLine="720"/>
        <w:jc w:val="both"/>
        <w:textAlignment w:val="baseline"/>
        <w:outlineLvl w:val="2"/>
        <w:rPr>
          <w:b/>
          <w:lang w:val="ru-RU"/>
        </w:rPr>
      </w:pPr>
    </w:p>
    <w:p w:rsidR="002129A3" w:rsidRPr="00ED6D37" w:rsidRDefault="002129A3" w:rsidP="002129A3">
      <w:pPr>
        <w:overflowPunct w:val="0"/>
        <w:autoSpaceDE w:val="0"/>
        <w:autoSpaceDN w:val="0"/>
        <w:adjustRightInd w:val="0"/>
        <w:spacing w:line="276" w:lineRule="auto"/>
        <w:ind w:right="26" w:firstLine="851"/>
        <w:jc w:val="both"/>
        <w:textAlignment w:val="baseline"/>
        <w:rPr>
          <w:b/>
          <w:lang w:val="en-US"/>
        </w:rPr>
      </w:pPr>
      <w:r w:rsidRPr="00087692">
        <w:t xml:space="preserve">Декларация образец № 3 </w:t>
      </w:r>
      <w:r>
        <w:t>„</w:t>
      </w:r>
      <w:r w:rsidRPr="00087692">
        <w:t>Данни за здравно осигуряване на лица, осигурени от държавния бюджет</w:t>
      </w:r>
      <w:r>
        <w:t>“</w:t>
      </w:r>
      <w:r w:rsidRPr="00087692">
        <w:t xml:space="preserve"> от фонд </w:t>
      </w:r>
      <w:r>
        <w:t>„</w:t>
      </w:r>
      <w:r w:rsidRPr="00087692">
        <w:t>Безработица</w:t>
      </w:r>
      <w:r>
        <w:t>“</w:t>
      </w:r>
      <w:r w:rsidRPr="00087692">
        <w:t xml:space="preserve"> (включително по електронен път)</w:t>
      </w:r>
      <w:r>
        <w:rPr>
          <w:lang w:val="en-US"/>
        </w:rPr>
        <w:t xml:space="preserve"> - </w:t>
      </w:r>
      <w:r w:rsidRPr="00ED6D37">
        <w:rPr>
          <w:b/>
        </w:rPr>
        <w:t>№</w:t>
      </w:r>
      <w:r w:rsidRPr="00ED6D37">
        <w:rPr>
          <w:b/>
          <w:lang w:val="en-US"/>
        </w:rPr>
        <w:t>1484</w:t>
      </w:r>
    </w:p>
    <w:p w:rsidR="002129A3" w:rsidRPr="00087692" w:rsidRDefault="002129A3" w:rsidP="002129A3">
      <w:pPr>
        <w:overflowPunct w:val="0"/>
        <w:autoSpaceDE w:val="0"/>
        <w:autoSpaceDN w:val="0"/>
        <w:adjustRightInd w:val="0"/>
        <w:spacing w:line="276" w:lineRule="auto"/>
        <w:ind w:left="708" w:right="26"/>
        <w:jc w:val="both"/>
        <w:textAlignment w:val="baseline"/>
        <w:rPr>
          <w:b/>
        </w:rPr>
      </w:pPr>
    </w:p>
    <w:p w:rsidR="002129A3" w:rsidRPr="00087692" w:rsidRDefault="002129A3" w:rsidP="002129A3">
      <w:pPr>
        <w:overflowPunct w:val="0"/>
        <w:autoSpaceDE w:val="0"/>
        <w:autoSpaceDN w:val="0"/>
        <w:adjustRightInd w:val="0"/>
        <w:spacing w:line="276" w:lineRule="auto"/>
        <w:ind w:right="26" w:firstLine="708"/>
        <w:textAlignment w:val="baseline"/>
        <w:rPr>
          <w:b/>
        </w:rPr>
      </w:pPr>
      <w:r w:rsidRPr="00087692">
        <w:rPr>
          <w:b/>
        </w:rPr>
        <w:t>II. Правно основание</w:t>
      </w:r>
    </w:p>
    <w:p w:rsidR="002129A3" w:rsidRPr="00920F50" w:rsidRDefault="002129A3" w:rsidP="002129A3">
      <w:pPr>
        <w:overflowPunct w:val="0"/>
        <w:autoSpaceDE w:val="0"/>
        <w:autoSpaceDN w:val="0"/>
        <w:adjustRightInd w:val="0"/>
        <w:spacing w:line="276" w:lineRule="auto"/>
        <w:ind w:right="26" w:firstLine="720"/>
        <w:jc w:val="both"/>
        <w:textAlignment w:val="baseline"/>
        <w:rPr>
          <w:b/>
          <w:i/>
          <w:color w:val="FF0000"/>
        </w:rPr>
      </w:pPr>
      <w:r w:rsidRPr="007A4FF2">
        <w:rPr>
          <w:b/>
          <w:i/>
        </w:rPr>
        <w:t>Наредба № Н-13 от 17 декември 2019 г. за съдържанието, сроковете, начина и реда за подаване и съхранение на данни от работодателите, осигурителите за осигурените при тях лица, както и от самоосигуряващите се лица</w:t>
      </w:r>
      <w:r w:rsidRPr="007A4FF2">
        <w:rPr>
          <w:b/>
          <w:i/>
          <w:lang w:val="en-US"/>
        </w:rPr>
        <w:t xml:space="preserve"> (</w:t>
      </w:r>
      <w:proofErr w:type="spellStart"/>
      <w:r w:rsidRPr="007A4FF2">
        <w:rPr>
          <w:b/>
          <w:i/>
          <w:lang w:val="en-US"/>
        </w:rPr>
        <w:t>Наредба</w:t>
      </w:r>
      <w:proofErr w:type="spellEnd"/>
      <w:r w:rsidRPr="007A4FF2">
        <w:rPr>
          <w:b/>
          <w:i/>
          <w:lang w:val="en-US"/>
        </w:rPr>
        <w:t xml:space="preserve"> Н-13 </w:t>
      </w:r>
      <w:proofErr w:type="spellStart"/>
      <w:r w:rsidRPr="007A4FF2">
        <w:rPr>
          <w:b/>
          <w:i/>
          <w:lang w:val="en-US"/>
        </w:rPr>
        <w:t>от</w:t>
      </w:r>
      <w:proofErr w:type="spellEnd"/>
      <w:r w:rsidRPr="007A4FF2">
        <w:rPr>
          <w:b/>
          <w:i/>
          <w:lang w:val="en-US"/>
        </w:rPr>
        <w:t xml:space="preserve"> 17 </w:t>
      </w:r>
      <w:proofErr w:type="spellStart"/>
      <w:r w:rsidRPr="007A4FF2">
        <w:rPr>
          <w:b/>
          <w:i/>
          <w:lang w:val="en-US"/>
        </w:rPr>
        <w:t>декември</w:t>
      </w:r>
      <w:proofErr w:type="spellEnd"/>
      <w:r w:rsidRPr="007A4FF2">
        <w:rPr>
          <w:b/>
          <w:i/>
          <w:lang w:val="en-US"/>
        </w:rPr>
        <w:t xml:space="preserve"> 2019 г.) – </w:t>
      </w:r>
      <w:proofErr w:type="spellStart"/>
      <w:proofErr w:type="gramStart"/>
      <w:r w:rsidRPr="007A4FF2">
        <w:rPr>
          <w:b/>
          <w:i/>
          <w:lang w:val="en-US"/>
        </w:rPr>
        <w:t>чл</w:t>
      </w:r>
      <w:proofErr w:type="spellEnd"/>
      <w:proofErr w:type="gramEnd"/>
      <w:r w:rsidRPr="007A4FF2">
        <w:rPr>
          <w:b/>
          <w:i/>
          <w:lang w:val="en-US"/>
        </w:rPr>
        <w:t xml:space="preserve">. 2, </w:t>
      </w:r>
      <w:proofErr w:type="spellStart"/>
      <w:r w:rsidRPr="007A4FF2">
        <w:rPr>
          <w:b/>
          <w:i/>
          <w:lang w:val="en-US"/>
        </w:rPr>
        <w:t>ал</w:t>
      </w:r>
      <w:proofErr w:type="spellEnd"/>
      <w:r w:rsidRPr="007A4FF2">
        <w:rPr>
          <w:b/>
          <w:i/>
          <w:lang w:val="en-US"/>
        </w:rPr>
        <w:t>.</w:t>
      </w:r>
      <w:r w:rsidRPr="00755D86">
        <w:rPr>
          <w:b/>
          <w:i/>
          <w:lang w:val="en-US"/>
        </w:rPr>
        <w:t xml:space="preserve"> </w:t>
      </w:r>
      <w:r w:rsidR="00920F50" w:rsidRPr="00755D86">
        <w:rPr>
          <w:b/>
          <w:i/>
        </w:rPr>
        <w:t>2</w:t>
      </w:r>
    </w:p>
    <w:p w:rsidR="002129A3" w:rsidRPr="006139F2" w:rsidRDefault="002129A3" w:rsidP="002129A3">
      <w:pPr>
        <w:overflowPunct w:val="0"/>
        <w:autoSpaceDE w:val="0"/>
        <w:autoSpaceDN w:val="0"/>
        <w:adjustRightInd w:val="0"/>
        <w:spacing w:line="276" w:lineRule="auto"/>
        <w:ind w:right="26" w:firstLine="720"/>
        <w:jc w:val="both"/>
        <w:textAlignment w:val="baseline"/>
        <w:rPr>
          <w:i/>
        </w:rPr>
      </w:pPr>
    </w:p>
    <w:p w:rsidR="002129A3" w:rsidRPr="00F15B3D" w:rsidRDefault="002129A3" w:rsidP="002129A3">
      <w:pPr>
        <w:pStyle w:val="BlockText"/>
        <w:spacing w:line="276" w:lineRule="auto"/>
        <w:ind w:left="0" w:right="26" w:firstLine="720"/>
        <w:jc w:val="both"/>
        <w:rPr>
          <w:b/>
          <w:szCs w:val="24"/>
        </w:rPr>
      </w:pPr>
      <w:r w:rsidRPr="00C23839">
        <w:rPr>
          <w:b/>
        </w:rPr>
        <w:t>ІІІ.</w:t>
      </w:r>
      <w:r w:rsidRPr="00C23839">
        <w:t xml:space="preserve"> </w:t>
      </w:r>
      <w:r w:rsidRPr="00F15B3D">
        <w:rPr>
          <w:b/>
          <w:szCs w:val="24"/>
        </w:rPr>
        <w:t xml:space="preserve">Достъп до услугата </w:t>
      </w:r>
    </w:p>
    <w:p w:rsidR="002129A3" w:rsidRPr="00F15B3D" w:rsidRDefault="002129A3" w:rsidP="002129A3">
      <w:pPr>
        <w:spacing w:line="276" w:lineRule="auto"/>
        <w:ind w:firstLine="709"/>
        <w:jc w:val="both"/>
        <w:textAlignment w:val="center"/>
      </w:pPr>
      <w:r w:rsidRPr="00F15B3D">
        <w:t xml:space="preserve">Настоящата услуга се предоставя от съответната компетентна ТД на НАП. </w:t>
      </w:r>
    </w:p>
    <w:p w:rsidR="002129A3" w:rsidRPr="00F15B3D" w:rsidRDefault="002129A3" w:rsidP="002129A3">
      <w:pPr>
        <w:spacing w:line="276" w:lineRule="auto"/>
        <w:ind w:firstLine="709"/>
        <w:jc w:val="both"/>
        <w:textAlignment w:val="center"/>
        <w:rPr>
          <w:color w:val="333333"/>
        </w:rPr>
      </w:pPr>
      <w:r w:rsidRPr="00F15B3D">
        <w:t xml:space="preserve">За физическите лица, включително едноличните търговци, компетентна е ТД на НАП по  постоянния им адрес, а за местните юридически лица - по седалището /за големи данъкоплатци и осигурители – ТД на НАП ГДО, за средни данъкоплатци и осигурители – ТД на НАП София, дирекция СДО/: </w:t>
      </w:r>
      <w:hyperlink r:id="rId5" w:history="1">
        <w:r w:rsidRPr="00F15B3D">
          <w:rPr>
            <w:color w:val="0000FF"/>
            <w:u w:val="single"/>
          </w:rPr>
          <w:t>http://nap.bg/page?id=24</w:t>
        </w:r>
      </w:hyperlink>
    </w:p>
    <w:p w:rsidR="002129A3" w:rsidRPr="00F15B3D" w:rsidRDefault="002129A3" w:rsidP="002129A3">
      <w:pPr>
        <w:overflowPunct w:val="0"/>
        <w:autoSpaceDE w:val="0"/>
        <w:autoSpaceDN w:val="0"/>
        <w:adjustRightInd w:val="0"/>
        <w:spacing w:line="276" w:lineRule="auto"/>
        <w:ind w:right="26" w:firstLine="708"/>
        <w:jc w:val="both"/>
        <w:textAlignment w:val="baseline"/>
      </w:pPr>
      <w:r w:rsidRPr="00F15B3D">
        <w:t xml:space="preserve">При подаване по електронен път - чрез портала за електронни услуги на НАП: </w:t>
      </w:r>
      <w:hyperlink r:id="rId6" w:history="1">
        <w:r w:rsidRPr="00F15B3D">
          <w:rPr>
            <w:color w:val="0000FF"/>
            <w:u w:val="single"/>
          </w:rPr>
          <w:t>https://inetdec.nra.bg</w:t>
        </w:r>
      </w:hyperlink>
      <w:r w:rsidRPr="00F15B3D">
        <w:t xml:space="preserve"> .</w:t>
      </w:r>
    </w:p>
    <w:p w:rsidR="002129A3" w:rsidRPr="00F15B3D" w:rsidRDefault="002129A3" w:rsidP="002129A3">
      <w:pPr>
        <w:overflowPunct w:val="0"/>
        <w:autoSpaceDE w:val="0"/>
        <w:autoSpaceDN w:val="0"/>
        <w:adjustRightInd w:val="0"/>
        <w:spacing w:line="276" w:lineRule="auto"/>
        <w:ind w:right="26" w:firstLine="720"/>
        <w:jc w:val="both"/>
        <w:textAlignment w:val="baseline"/>
      </w:pPr>
    </w:p>
    <w:p w:rsidR="002129A3" w:rsidRPr="00F15B3D" w:rsidRDefault="002129A3" w:rsidP="002129A3">
      <w:pPr>
        <w:overflowPunct w:val="0"/>
        <w:autoSpaceDE w:val="0"/>
        <w:autoSpaceDN w:val="0"/>
        <w:adjustRightInd w:val="0"/>
        <w:spacing w:line="276" w:lineRule="auto"/>
        <w:ind w:right="26" w:firstLine="720"/>
        <w:jc w:val="both"/>
        <w:textAlignment w:val="baseline"/>
        <w:rPr>
          <w:b/>
          <w:szCs w:val="20"/>
        </w:rPr>
      </w:pPr>
      <w:r w:rsidRPr="00F15B3D">
        <w:rPr>
          <w:b/>
          <w:szCs w:val="20"/>
          <w:lang w:val="en-US"/>
        </w:rPr>
        <w:t>I</w:t>
      </w:r>
      <w:r w:rsidRPr="00F15B3D">
        <w:rPr>
          <w:b/>
          <w:szCs w:val="20"/>
        </w:rPr>
        <w:t>V. Процедура по извършване на административната услуга</w:t>
      </w:r>
    </w:p>
    <w:p w:rsidR="002129A3" w:rsidRPr="002D7A4F" w:rsidRDefault="002129A3" w:rsidP="002129A3">
      <w:pPr>
        <w:widowControl w:val="0"/>
        <w:autoSpaceDE w:val="0"/>
        <w:autoSpaceDN w:val="0"/>
        <w:adjustRightInd w:val="0"/>
        <w:spacing w:line="276" w:lineRule="auto"/>
        <w:ind w:right="140" w:firstLine="720"/>
        <w:jc w:val="both"/>
        <w:rPr>
          <w:lang w:val="ru-RU"/>
        </w:rPr>
      </w:pPr>
      <w:r w:rsidRPr="006139F2">
        <w:rPr>
          <w:b/>
        </w:rPr>
        <w:t>Заявител</w:t>
      </w:r>
      <w:r>
        <w:rPr>
          <w:b/>
        </w:rPr>
        <w:t>и</w:t>
      </w:r>
      <w:r w:rsidRPr="006139F2">
        <w:rPr>
          <w:b/>
        </w:rPr>
        <w:t xml:space="preserve"> на услугата</w:t>
      </w:r>
      <w:r w:rsidRPr="006139F2">
        <w:t xml:space="preserve"> </w:t>
      </w:r>
      <w:r w:rsidRPr="002D7A4F">
        <w:rPr>
          <w:lang w:val="ru-RU"/>
        </w:rPr>
        <w:t>са осигурителите:</w:t>
      </w:r>
    </w:p>
    <w:p w:rsidR="002129A3" w:rsidRPr="002D7A4F" w:rsidRDefault="002129A3" w:rsidP="002129A3">
      <w:pPr>
        <w:spacing w:line="276" w:lineRule="auto"/>
        <w:ind w:firstLine="1155"/>
        <w:jc w:val="both"/>
        <w:textAlignment w:val="center"/>
      </w:pPr>
      <w:r w:rsidRPr="002D7A4F">
        <w:rPr>
          <w:lang w:val="ru-RU"/>
        </w:rPr>
        <w:t xml:space="preserve">- </w:t>
      </w:r>
      <w:r w:rsidRPr="002D7A4F">
        <w:t>училищата за лицата над 18-годишна възраст, които учат редовно до завършване на средното образование;</w:t>
      </w:r>
    </w:p>
    <w:p w:rsidR="002129A3" w:rsidRPr="00B00EA2" w:rsidRDefault="002129A3" w:rsidP="002129A3">
      <w:pPr>
        <w:spacing w:line="276" w:lineRule="auto"/>
        <w:ind w:firstLine="1155"/>
        <w:jc w:val="both"/>
        <w:textAlignment w:val="center"/>
        <w:rPr>
          <w:color w:val="000000" w:themeColor="text1"/>
        </w:rPr>
      </w:pPr>
      <w:r w:rsidRPr="002D7A4F">
        <w:t xml:space="preserve">- висшите училища за лицата </w:t>
      </w:r>
      <w:r w:rsidRPr="00B00EA2">
        <w:rPr>
          <w:color w:val="000000" w:themeColor="text1"/>
        </w:rPr>
        <w:t xml:space="preserve">по </w:t>
      </w:r>
      <w:r w:rsidRPr="00B00EA2">
        <w:rPr>
          <w:rStyle w:val="newdocreference1"/>
          <w:color w:val="000000" w:themeColor="text1"/>
        </w:rPr>
        <w:t>чл. 40, ал. 3, т. 2 и 3 ЗЗО</w:t>
      </w:r>
      <w:r w:rsidRPr="00B00EA2">
        <w:rPr>
          <w:color w:val="000000" w:themeColor="text1"/>
        </w:rPr>
        <w:t>;</w:t>
      </w:r>
    </w:p>
    <w:p w:rsidR="002129A3" w:rsidRPr="00B00EA2" w:rsidRDefault="002129A3" w:rsidP="002129A3">
      <w:pPr>
        <w:spacing w:line="276" w:lineRule="auto"/>
        <w:ind w:firstLine="1155"/>
        <w:jc w:val="both"/>
        <w:textAlignment w:val="center"/>
        <w:rPr>
          <w:color w:val="000000" w:themeColor="text1"/>
        </w:rPr>
      </w:pPr>
      <w:r w:rsidRPr="00B00EA2">
        <w:rPr>
          <w:color w:val="000000" w:themeColor="text1"/>
        </w:rPr>
        <w:t>-</w:t>
      </w:r>
      <w:r w:rsidR="00B00EA2" w:rsidRPr="00B00EA2">
        <w:rPr>
          <w:color w:val="000000" w:themeColor="text1"/>
        </w:rPr>
        <w:t xml:space="preserve"> </w:t>
      </w:r>
      <w:r w:rsidRPr="00B00EA2">
        <w:rPr>
          <w:rStyle w:val="newdocreference1"/>
          <w:color w:val="000000" w:themeColor="text1"/>
        </w:rPr>
        <w:t>Агенцията за социално подпомагане</w:t>
      </w:r>
      <w:r w:rsidRPr="00B00EA2">
        <w:rPr>
          <w:color w:val="000000" w:themeColor="text1"/>
        </w:rPr>
        <w:t xml:space="preserve"> за лицата, които отговарят на условията за получаване на месечни социални помощи и целеви помощи за отопление, и за родителите, осиновителите или съпрузите, които полагат грижи за инвалиди със загубена работоспособност над 90 на сто, които постоянно се нуждаят от чужда помощ;</w:t>
      </w:r>
    </w:p>
    <w:p w:rsidR="002129A3" w:rsidRPr="00B00EA2" w:rsidRDefault="002129A3" w:rsidP="002129A3">
      <w:pPr>
        <w:spacing w:line="276" w:lineRule="auto"/>
        <w:ind w:firstLine="1155"/>
        <w:jc w:val="both"/>
        <w:textAlignment w:val="center"/>
        <w:rPr>
          <w:color w:val="000000" w:themeColor="text1"/>
        </w:rPr>
      </w:pPr>
      <w:r w:rsidRPr="00B00EA2">
        <w:rPr>
          <w:color w:val="000000" w:themeColor="text1"/>
        </w:rPr>
        <w:t>- специализираните институции за социални услуги за настанените при тях лица;</w:t>
      </w:r>
    </w:p>
    <w:p w:rsidR="002129A3" w:rsidRPr="00B00EA2" w:rsidRDefault="002129A3" w:rsidP="002129A3">
      <w:pPr>
        <w:spacing w:line="276" w:lineRule="auto"/>
        <w:ind w:firstLine="1155"/>
        <w:jc w:val="both"/>
        <w:textAlignment w:val="center"/>
        <w:rPr>
          <w:color w:val="000000" w:themeColor="text1"/>
        </w:rPr>
      </w:pPr>
      <w:r w:rsidRPr="00B00EA2">
        <w:rPr>
          <w:color w:val="000000" w:themeColor="text1"/>
        </w:rPr>
        <w:t xml:space="preserve">- Главна дирекция "Изпълнение на наказанията" към </w:t>
      </w:r>
      <w:r w:rsidRPr="00B00EA2">
        <w:rPr>
          <w:rStyle w:val="newdocreference1"/>
          <w:color w:val="000000" w:themeColor="text1"/>
        </w:rPr>
        <w:t>министъра на правосъдието</w:t>
      </w:r>
      <w:r w:rsidRPr="00B00EA2">
        <w:rPr>
          <w:color w:val="000000" w:themeColor="text1"/>
        </w:rPr>
        <w:t xml:space="preserve"> за лишените от свобода и задържаните под</w:t>
      </w:r>
      <w:bookmarkStart w:id="0" w:name="_GoBack"/>
      <w:bookmarkEnd w:id="0"/>
      <w:r w:rsidRPr="00B00EA2">
        <w:rPr>
          <w:color w:val="000000" w:themeColor="text1"/>
        </w:rPr>
        <w:t xml:space="preserve"> стража;</w:t>
      </w:r>
    </w:p>
    <w:p w:rsidR="002129A3" w:rsidRPr="00B00EA2" w:rsidRDefault="002129A3" w:rsidP="002129A3">
      <w:pPr>
        <w:spacing w:line="276" w:lineRule="auto"/>
        <w:ind w:firstLine="1155"/>
        <w:jc w:val="both"/>
        <w:textAlignment w:val="center"/>
        <w:rPr>
          <w:color w:val="000000" w:themeColor="text1"/>
        </w:rPr>
      </w:pPr>
      <w:r w:rsidRPr="00B00EA2">
        <w:rPr>
          <w:color w:val="000000" w:themeColor="text1"/>
        </w:rPr>
        <w:t xml:space="preserve">- </w:t>
      </w:r>
      <w:r w:rsidRPr="00B00EA2">
        <w:rPr>
          <w:rStyle w:val="newdocreference1"/>
          <w:color w:val="000000" w:themeColor="text1"/>
        </w:rPr>
        <w:t>Агенцията за бежанците</w:t>
      </w:r>
      <w:r w:rsidRPr="00B00EA2">
        <w:rPr>
          <w:color w:val="000000" w:themeColor="text1"/>
        </w:rPr>
        <w:t xml:space="preserve"> за лицата по </w:t>
      </w:r>
      <w:r w:rsidRPr="00B00EA2">
        <w:rPr>
          <w:rStyle w:val="newdocreference1"/>
          <w:color w:val="000000" w:themeColor="text1"/>
        </w:rPr>
        <w:t>чл. 40, ал. 3, т. 7 ЗЗО</w:t>
      </w:r>
      <w:r w:rsidRPr="00B00EA2">
        <w:rPr>
          <w:color w:val="000000" w:themeColor="text1"/>
        </w:rPr>
        <w:t>;</w:t>
      </w:r>
    </w:p>
    <w:p w:rsidR="002129A3" w:rsidRPr="00B00EA2" w:rsidRDefault="002129A3" w:rsidP="002129A3">
      <w:pPr>
        <w:spacing w:line="276" w:lineRule="auto"/>
        <w:ind w:firstLine="1155"/>
        <w:jc w:val="both"/>
        <w:textAlignment w:val="center"/>
        <w:rPr>
          <w:color w:val="000000" w:themeColor="text1"/>
        </w:rPr>
      </w:pPr>
      <w:r w:rsidRPr="00B00EA2">
        <w:rPr>
          <w:color w:val="000000" w:themeColor="text1"/>
        </w:rPr>
        <w:t xml:space="preserve">- общините за предоставените от тях социални услуги - </w:t>
      </w:r>
      <w:proofErr w:type="spellStart"/>
      <w:r w:rsidRPr="00B00EA2">
        <w:rPr>
          <w:color w:val="000000" w:themeColor="text1"/>
        </w:rPr>
        <w:t>резидентен</w:t>
      </w:r>
      <w:proofErr w:type="spellEnd"/>
      <w:r w:rsidRPr="00B00EA2">
        <w:rPr>
          <w:color w:val="000000" w:themeColor="text1"/>
        </w:rPr>
        <w:t xml:space="preserve"> тип за лицата по </w:t>
      </w:r>
      <w:r w:rsidRPr="00B00EA2">
        <w:rPr>
          <w:rStyle w:val="newdocreference1"/>
          <w:color w:val="000000" w:themeColor="text1"/>
        </w:rPr>
        <w:t>чл. 40, ал. 3, т. 5 ЗЗО</w:t>
      </w:r>
      <w:r w:rsidRPr="00B00EA2">
        <w:rPr>
          <w:color w:val="000000" w:themeColor="text1"/>
        </w:rPr>
        <w:t xml:space="preserve"> ;</w:t>
      </w:r>
    </w:p>
    <w:p w:rsidR="002129A3" w:rsidRPr="002D7A4F" w:rsidRDefault="002129A3" w:rsidP="002129A3">
      <w:pPr>
        <w:spacing w:line="276" w:lineRule="auto"/>
        <w:ind w:firstLine="1155"/>
        <w:jc w:val="both"/>
        <w:textAlignment w:val="center"/>
      </w:pPr>
      <w:r w:rsidRPr="00B00EA2">
        <w:rPr>
          <w:color w:val="000000" w:themeColor="text1"/>
        </w:rPr>
        <w:t xml:space="preserve">- </w:t>
      </w:r>
      <w:r w:rsidRPr="00B00EA2">
        <w:rPr>
          <w:rStyle w:val="newdocreference1"/>
          <w:color w:val="000000" w:themeColor="text1"/>
        </w:rPr>
        <w:t xml:space="preserve">Националният осигурителен институт </w:t>
      </w:r>
      <w:r w:rsidRPr="00B00EA2">
        <w:rPr>
          <w:color w:val="000000" w:themeColor="text1"/>
        </w:rPr>
        <w:t>- з</w:t>
      </w:r>
      <w:r w:rsidRPr="002D7A4F">
        <w:t xml:space="preserve">а пенсионери от държавното обществено осигуряване </w:t>
      </w:r>
    </w:p>
    <w:p w:rsidR="002129A3" w:rsidRDefault="002129A3" w:rsidP="002129A3">
      <w:pPr>
        <w:spacing w:line="276" w:lineRule="auto"/>
        <w:ind w:left="720"/>
        <w:jc w:val="both"/>
        <w:rPr>
          <w:b/>
        </w:rPr>
      </w:pPr>
    </w:p>
    <w:p w:rsidR="002129A3" w:rsidRPr="00F15B3D" w:rsidRDefault="002129A3" w:rsidP="002129A3">
      <w:pPr>
        <w:pStyle w:val="Style"/>
        <w:spacing w:line="276" w:lineRule="auto"/>
        <w:ind w:left="0" w:firstLine="720"/>
      </w:pPr>
      <w:r w:rsidRPr="00F15B3D">
        <w:t xml:space="preserve">За да бъде услугата достъпна по електронен път с </w:t>
      </w:r>
      <w:r>
        <w:t>квалифициран</w:t>
      </w:r>
      <w:r w:rsidRPr="00F15B3D">
        <w:t xml:space="preserve"> електронен </w:t>
      </w:r>
      <w:r w:rsidRPr="00F15B3D">
        <w:lastRenderedPageBreak/>
        <w:t xml:space="preserve">подпис </w:t>
      </w:r>
      <w:r w:rsidRPr="00F15B3D">
        <w:rPr>
          <w:i/>
        </w:rPr>
        <w:t>(</w:t>
      </w:r>
      <w:r w:rsidRPr="00F15B3D">
        <w:t>КЕП)</w:t>
      </w:r>
      <w:r>
        <w:t>,</w:t>
      </w:r>
      <w:r w:rsidRPr="00F15B3D">
        <w:t xml:space="preserve"> следва да е подадено:</w:t>
      </w:r>
    </w:p>
    <w:p w:rsidR="002129A3" w:rsidRPr="00F15B3D" w:rsidRDefault="002129A3" w:rsidP="002129A3">
      <w:pPr>
        <w:widowControl w:val="0"/>
        <w:numPr>
          <w:ilvl w:val="0"/>
          <w:numId w:val="1"/>
        </w:numPr>
        <w:autoSpaceDE w:val="0"/>
        <w:autoSpaceDN w:val="0"/>
        <w:adjustRightInd w:val="0"/>
        <w:spacing w:line="276" w:lineRule="auto"/>
        <w:ind w:left="0" w:right="142" w:firstLine="993"/>
        <w:jc w:val="both"/>
      </w:pPr>
      <w:r w:rsidRPr="00F15B3D">
        <w:rPr>
          <w:i/>
        </w:rPr>
        <w:t xml:space="preserve">Заявление за подаване на документи по електронен път и ползване на електронните услуги,  предоставяни от НАП с КЕП на задължено лице  </w:t>
      </w:r>
      <w:r w:rsidRPr="00F15B3D">
        <w:t xml:space="preserve">и потвърден пълен/частичен достъп до услугите на НАП или </w:t>
      </w:r>
    </w:p>
    <w:p w:rsidR="002129A3" w:rsidRPr="00B10237" w:rsidRDefault="002129A3" w:rsidP="002129A3">
      <w:pPr>
        <w:numPr>
          <w:ilvl w:val="0"/>
          <w:numId w:val="1"/>
        </w:numPr>
        <w:spacing w:line="276" w:lineRule="auto"/>
        <w:jc w:val="both"/>
        <w:rPr>
          <w:b/>
        </w:rPr>
      </w:pPr>
      <w:r w:rsidRPr="00F15B3D">
        <w:rPr>
          <w:i/>
        </w:rPr>
        <w:t>Заявление за подаване на документи по електронен път и ползване на електронните услуги,  предоставяни от НАП с КЕП на упълномощено лице</w:t>
      </w:r>
      <w:r w:rsidRPr="00F15B3D">
        <w:t xml:space="preserve"> със заявен и потвърден пълен/частичен достъп до услугата </w:t>
      </w:r>
      <w:r w:rsidRPr="00F15B3D">
        <w:rPr>
          <w:b/>
        </w:rPr>
        <w:t>“</w:t>
      </w:r>
      <w:r w:rsidRPr="00B10237">
        <w:rPr>
          <w:b/>
        </w:rPr>
        <w:t>Декларации, документи или данни, свързани със задължителното осигуряване".</w:t>
      </w:r>
    </w:p>
    <w:p w:rsidR="002129A3" w:rsidRPr="007A4FF2" w:rsidRDefault="002129A3" w:rsidP="002129A3">
      <w:pPr>
        <w:spacing w:line="276" w:lineRule="auto"/>
        <w:ind w:left="720"/>
        <w:jc w:val="both"/>
        <w:rPr>
          <w:b/>
        </w:rPr>
      </w:pPr>
    </w:p>
    <w:p w:rsidR="002129A3" w:rsidRPr="007A4FF2" w:rsidRDefault="002129A3" w:rsidP="002129A3">
      <w:pPr>
        <w:spacing w:line="276" w:lineRule="auto"/>
        <w:ind w:left="720"/>
        <w:jc w:val="both"/>
      </w:pPr>
      <w:r w:rsidRPr="007A4FF2">
        <w:rPr>
          <w:b/>
        </w:rPr>
        <w:t>Необходими документи</w:t>
      </w:r>
      <w:r w:rsidRPr="007A4FF2">
        <w:t xml:space="preserve">: </w:t>
      </w:r>
    </w:p>
    <w:p w:rsidR="002129A3" w:rsidRPr="007A4FF2" w:rsidRDefault="002129A3" w:rsidP="002129A3">
      <w:pPr>
        <w:spacing w:line="276" w:lineRule="auto"/>
        <w:ind w:left="720"/>
        <w:jc w:val="both"/>
      </w:pPr>
      <w:r w:rsidRPr="007A4FF2">
        <w:t xml:space="preserve">Декларация образец № 3 </w:t>
      </w:r>
    </w:p>
    <w:p w:rsidR="002129A3" w:rsidRPr="007A4FF2" w:rsidRDefault="002129A3" w:rsidP="002129A3">
      <w:pPr>
        <w:ind w:left="720"/>
        <w:jc w:val="both"/>
      </w:pPr>
      <w:r w:rsidRPr="007A4FF2">
        <w:t xml:space="preserve">Протокол за подаване на данни по чл. 8, ал. 7 от Наредба Н-13, в случаите на подаване на декларацията на хартиен или електронен носител </w:t>
      </w:r>
    </w:p>
    <w:p w:rsidR="002129A3" w:rsidRPr="007A4FF2" w:rsidRDefault="002129A3" w:rsidP="002129A3">
      <w:pPr>
        <w:spacing w:line="276" w:lineRule="auto"/>
        <w:ind w:left="720"/>
        <w:jc w:val="both"/>
        <w:rPr>
          <w:b/>
        </w:rPr>
      </w:pPr>
    </w:p>
    <w:p w:rsidR="002129A3" w:rsidRPr="007A4FF2" w:rsidRDefault="002129A3" w:rsidP="002129A3">
      <w:pPr>
        <w:spacing w:line="276" w:lineRule="auto"/>
        <w:ind w:firstLine="851"/>
        <w:jc w:val="both"/>
      </w:pPr>
      <w:r w:rsidRPr="007A4FF2">
        <w:rPr>
          <w:b/>
        </w:rPr>
        <w:t>Срок:</w:t>
      </w:r>
      <w:r w:rsidRPr="007A4FF2">
        <w:t xml:space="preserve"> Декларацията се подава до 20 дни след края на месеца, за който се отнасят данните. НОИ подава декларация образец № 3 за пенсионери от държавното обществено осигуряване:</w:t>
      </w:r>
    </w:p>
    <w:p w:rsidR="002129A3" w:rsidRPr="007A4FF2" w:rsidRDefault="002129A3" w:rsidP="002129A3">
      <w:pPr>
        <w:spacing w:line="276" w:lineRule="auto"/>
        <w:ind w:firstLine="1155"/>
        <w:jc w:val="both"/>
        <w:textAlignment w:val="center"/>
      </w:pPr>
      <w:r w:rsidRPr="007A4FF2">
        <w:t>- до 20-то число на месеца, следващ месеца, за който се отнасят тези данни;</w:t>
      </w:r>
    </w:p>
    <w:p w:rsidR="002129A3" w:rsidRPr="007A4FF2" w:rsidRDefault="002129A3" w:rsidP="002129A3">
      <w:pPr>
        <w:spacing w:line="276" w:lineRule="auto"/>
        <w:ind w:firstLine="1155"/>
        <w:jc w:val="both"/>
        <w:textAlignment w:val="center"/>
      </w:pPr>
      <w:r w:rsidRPr="007A4FF2">
        <w:t xml:space="preserve">- до 20-то число на месеца, следващ този на издаване на разпореждането за отпускане на пенсия </w:t>
      </w:r>
    </w:p>
    <w:p w:rsidR="002129A3" w:rsidRPr="007A4FF2" w:rsidRDefault="002129A3" w:rsidP="002129A3">
      <w:pPr>
        <w:overflowPunct w:val="0"/>
        <w:autoSpaceDE w:val="0"/>
        <w:autoSpaceDN w:val="0"/>
        <w:adjustRightInd w:val="0"/>
        <w:spacing w:line="276" w:lineRule="auto"/>
        <w:ind w:right="26" w:firstLine="708"/>
        <w:jc w:val="both"/>
        <w:textAlignment w:val="baseline"/>
        <w:rPr>
          <w:b/>
          <w:szCs w:val="20"/>
        </w:rPr>
      </w:pPr>
    </w:p>
    <w:p w:rsidR="002129A3" w:rsidRPr="002D7A4F" w:rsidRDefault="002129A3" w:rsidP="002129A3">
      <w:pPr>
        <w:overflowPunct w:val="0"/>
        <w:autoSpaceDE w:val="0"/>
        <w:autoSpaceDN w:val="0"/>
        <w:adjustRightInd w:val="0"/>
        <w:spacing w:before="240" w:line="276" w:lineRule="auto"/>
        <w:ind w:right="26" w:firstLine="708"/>
        <w:jc w:val="both"/>
        <w:textAlignment w:val="baseline"/>
      </w:pPr>
      <w:r w:rsidRPr="002D7A4F">
        <w:rPr>
          <w:b/>
        </w:rPr>
        <w:t>Вътрешен ход на процедурата</w:t>
      </w:r>
      <w:r w:rsidRPr="002D7A4F">
        <w:t xml:space="preserve">: </w:t>
      </w:r>
    </w:p>
    <w:p w:rsidR="002129A3" w:rsidRPr="006139F2" w:rsidRDefault="002129A3" w:rsidP="002129A3">
      <w:pPr>
        <w:overflowPunct w:val="0"/>
        <w:autoSpaceDE w:val="0"/>
        <w:autoSpaceDN w:val="0"/>
        <w:adjustRightInd w:val="0"/>
        <w:spacing w:line="276" w:lineRule="auto"/>
        <w:ind w:right="26" w:firstLine="708"/>
        <w:jc w:val="both"/>
        <w:textAlignment w:val="baseline"/>
      </w:pPr>
      <w:r w:rsidRPr="002D7A4F">
        <w:t xml:space="preserve">Декларацията се подава лично или от упълномощено лице в ТД на НАП на електронен носител или по електронен път чрез използване на квалифициран електронен подпис на подателя. </w:t>
      </w:r>
    </w:p>
    <w:p w:rsidR="002129A3" w:rsidRDefault="002129A3" w:rsidP="002129A3">
      <w:pPr>
        <w:spacing w:line="276" w:lineRule="auto"/>
        <w:jc w:val="both"/>
      </w:pPr>
      <w:r w:rsidRPr="006139F2">
        <w:tab/>
      </w:r>
      <w:r w:rsidRPr="002D7A4F">
        <w:t>Декларации за корекция не се подават за коригиране и заличаване на данни след 30 април на годината, следваща годината, за която се отнасят. След този срок декларации се подават само на електронен или хартиен носител след разрешение на НАП или НОИ във връзка с възложените им дейности</w:t>
      </w:r>
    </w:p>
    <w:p w:rsidR="002129A3" w:rsidRPr="00ED6D62" w:rsidRDefault="002129A3" w:rsidP="002129A3">
      <w:pPr>
        <w:overflowPunct w:val="0"/>
        <w:autoSpaceDE w:val="0"/>
        <w:autoSpaceDN w:val="0"/>
        <w:adjustRightInd w:val="0"/>
        <w:spacing w:line="276" w:lineRule="auto"/>
        <w:ind w:right="26" w:firstLine="708"/>
        <w:jc w:val="both"/>
        <w:textAlignment w:val="baseline"/>
      </w:pPr>
      <w:r w:rsidRPr="00ED6D62">
        <w:t>При получаване на декларация на хартиен носител о</w:t>
      </w:r>
      <w:r w:rsidRPr="00ED6D62">
        <w:rPr>
          <w:szCs w:val="20"/>
        </w:rPr>
        <w:t>рганът по приходите завежда с входящ номер протокола, с който се подават декларациите, след което ги приема и обработва.</w:t>
      </w:r>
      <w:r w:rsidRPr="00ED6D62">
        <w:t xml:space="preserve"> Приемащият с</w:t>
      </w:r>
      <w:r w:rsidRPr="00ED6D62">
        <w:rPr>
          <w:szCs w:val="20"/>
        </w:rPr>
        <w:t>лужител може да  откаже приемането на  документа само, когато не е подписан, не се подава от надлежно упълномощено лице или не съдържа данните за идентификация по чл. 81, ал.1, т. 2 и 3 от ДОПК – името на лицето, единния граждански номер или личен номер на чужденец. В тези случаи служителят уведомява писмено лицето, че декларацията се счита за неприета и трябва да подаде коректна такава.</w:t>
      </w:r>
    </w:p>
    <w:p w:rsidR="002129A3" w:rsidRPr="002D7A4F" w:rsidRDefault="002129A3" w:rsidP="002129A3">
      <w:pPr>
        <w:overflowPunct w:val="0"/>
        <w:autoSpaceDE w:val="0"/>
        <w:autoSpaceDN w:val="0"/>
        <w:adjustRightInd w:val="0"/>
        <w:spacing w:line="276" w:lineRule="auto"/>
        <w:ind w:right="26" w:firstLine="709"/>
        <w:jc w:val="both"/>
        <w:textAlignment w:val="baseline"/>
        <w:rPr>
          <w:b/>
          <w:szCs w:val="20"/>
        </w:rPr>
      </w:pPr>
    </w:p>
    <w:p w:rsidR="002129A3" w:rsidRPr="006139F2" w:rsidRDefault="002129A3" w:rsidP="002129A3">
      <w:pPr>
        <w:overflowPunct w:val="0"/>
        <w:autoSpaceDE w:val="0"/>
        <w:autoSpaceDN w:val="0"/>
        <w:adjustRightInd w:val="0"/>
        <w:spacing w:line="276" w:lineRule="auto"/>
        <w:ind w:right="26" w:firstLine="709"/>
        <w:jc w:val="both"/>
        <w:textAlignment w:val="baseline"/>
        <w:rPr>
          <w:b/>
          <w:szCs w:val="20"/>
        </w:rPr>
      </w:pPr>
      <w:r w:rsidRPr="006139F2">
        <w:rPr>
          <w:b/>
          <w:szCs w:val="20"/>
        </w:rPr>
        <w:t>Резултат от процедурата:</w:t>
      </w:r>
      <w:r w:rsidRPr="006139F2">
        <w:rPr>
          <w:b/>
          <w:szCs w:val="20"/>
          <w:lang w:val="ru-RU"/>
        </w:rPr>
        <w:t xml:space="preserve"> </w:t>
      </w:r>
    </w:p>
    <w:p w:rsidR="002129A3" w:rsidRDefault="002129A3" w:rsidP="002129A3">
      <w:pPr>
        <w:overflowPunct w:val="0"/>
        <w:autoSpaceDE w:val="0"/>
        <w:autoSpaceDN w:val="0"/>
        <w:adjustRightInd w:val="0"/>
        <w:spacing w:line="276" w:lineRule="auto"/>
        <w:ind w:right="26" w:firstLine="720"/>
        <w:jc w:val="both"/>
        <w:textAlignment w:val="baseline"/>
      </w:pPr>
      <w:r>
        <w:t>Приета/отхвърлена Д</w:t>
      </w:r>
      <w:r w:rsidRPr="005B5C86">
        <w:t xml:space="preserve">екларация </w:t>
      </w:r>
      <w:r>
        <w:t>образец № 3.</w:t>
      </w:r>
    </w:p>
    <w:p w:rsidR="002129A3" w:rsidRDefault="002129A3" w:rsidP="002129A3">
      <w:pPr>
        <w:overflowPunct w:val="0"/>
        <w:autoSpaceDE w:val="0"/>
        <w:autoSpaceDN w:val="0"/>
        <w:adjustRightInd w:val="0"/>
        <w:spacing w:line="276" w:lineRule="auto"/>
        <w:ind w:right="26" w:firstLine="720"/>
        <w:jc w:val="both"/>
        <w:textAlignment w:val="baseline"/>
      </w:pPr>
    </w:p>
    <w:p w:rsidR="002129A3" w:rsidRPr="00E80450" w:rsidRDefault="002129A3" w:rsidP="002129A3">
      <w:pPr>
        <w:overflowPunct w:val="0"/>
        <w:autoSpaceDE w:val="0"/>
        <w:autoSpaceDN w:val="0"/>
        <w:adjustRightInd w:val="0"/>
        <w:spacing w:line="276" w:lineRule="auto"/>
        <w:ind w:right="26" w:firstLine="720"/>
        <w:jc w:val="both"/>
        <w:textAlignment w:val="baseline"/>
        <w:rPr>
          <w:b/>
          <w:szCs w:val="20"/>
        </w:rPr>
      </w:pPr>
      <w:r w:rsidRPr="00E80450">
        <w:rPr>
          <w:b/>
          <w:szCs w:val="20"/>
        </w:rPr>
        <w:lastRenderedPageBreak/>
        <w:t>V. Ниво на предоставяне на услугата, съгласно Наредба</w:t>
      </w:r>
      <w:r>
        <w:rPr>
          <w:b/>
          <w:szCs w:val="20"/>
        </w:rPr>
        <w:t>та за административния регистър</w:t>
      </w:r>
    </w:p>
    <w:p w:rsidR="002129A3" w:rsidRPr="00532590" w:rsidRDefault="002129A3" w:rsidP="002129A3">
      <w:pPr>
        <w:overflowPunct w:val="0"/>
        <w:autoSpaceDE w:val="0"/>
        <w:autoSpaceDN w:val="0"/>
        <w:adjustRightInd w:val="0"/>
        <w:spacing w:line="276" w:lineRule="auto"/>
        <w:ind w:right="26" w:firstLine="720"/>
        <w:jc w:val="both"/>
        <w:textAlignment w:val="baseline"/>
        <w:rPr>
          <w:lang w:val="ru-RU"/>
        </w:rPr>
      </w:pPr>
      <w:r w:rsidRPr="00E80450">
        <w:rPr>
          <w:b/>
          <w:szCs w:val="20"/>
        </w:rPr>
        <w:t>Ниво 3:</w:t>
      </w:r>
      <w:r w:rsidRPr="00E80450">
        <w:rPr>
          <w:szCs w:val="20"/>
        </w:rPr>
        <w:t xml:space="preserve"> Двустранна комуникация - заявяване и получаване на услуги изцяло по електронен път, включително електронно подаване на данни и документи, електронна обработка на формуляри и електронна персонална идентификация на потребителите. </w:t>
      </w:r>
    </w:p>
    <w:p w:rsidR="002129A3" w:rsidRPr="006139F2" w:rsidRDefault="002129A3" w:rsidP="002129A3">
      <w:pPr>
        <w:overflowPunct w:val="0"/>
        <w:autoSpaceDE w:val="0"/>
        <w:autoSpaceDN w:val="0"/>
        <w:adjustRightInd w:val="0"/>
        <w:spacing w:line="276" w:lineRule="auto"/>
        <w:ind w:right="26" w:firstLine="720"/>
        <w:jc w:val="both"/>
        <w:textAlignment w:val="baseline"/>
        <w:rPr>
          <w:szCs w:val="20"/>
        </w:rPr>
      </w:pPr>
    </w:p>
    <w:p w:rsidR="002129A3" w:rsidRPr="007A4FF2" w:rsidRDefault="002129A3" w:rsidP="002129A3">
      <w:pPr>
        <w:overflowPunct w:val="0"/>
        <w:autoSpaceDE w:val="0"/>
        <w:autoSpaceDN w:val="0"/>
        <w:adjustRightInd w:val="0"/>
        <w:spacing w:line="276" w:lineRule="auto"/>
        <w:ind w:right="26" w:firstLine="720"/>
        <w:jc w:val="both"/>
        <w:textAlignment w:val="baseline"/>
        <w:rPr>
          <w:b/>
          <w:szCs w:val="20"/>
        </w:rPr>
      </w:pPr>
      <w:r w:rsidRPr="007A4FF2">
        <w:rPr>
          <w:b/>
          <w:szCs w:val="20"/>
        </w:rPr>
        <w:t>V</w:t>
      </w:r>
      <w:r w:rsidRPr="007A4FF2">
        <w:rPr>
          <w:b/>
          <w:szCs w:val="20"/>
          <w:lang w:val="en-US"/>
        </w:rPr>
        <w:t>I</w:t>
      </w:r>
      <w:r w:rsidRPr="007A4FF2">
        <w:rPr>
          <w:b/>
          <w:szCs w:val="20"/>
        </w:rPr>
        <w:t>. Образци и формуляри</w:t>
      </w:r>
    </w:p>
    <w:p w:rsidR="002129A3" w:rsidRPr="007A4FF2" w:rsidRDefault="00B00EA2" w:rsidP="002129A3">
      <w:pPr>
        <w:ind w:left="720"/>
        <w:jc w:val="both"/>
      </w:pPr>
      <w:hyperlink r:id="rId7" w:history="1">
        <w:r w:rsidR="002129A3" w:rsidRPr="00CC4122">
          <w:rPr>
            <w:rStyle w:val="Hyperlink"/>
          </w:rPr>
          <w:t>Декларация образец № 3</w:t>
        </w:r>
      </w:hyperlink>
      <w:r w:rsidR="002129A3" w:rsidRPr="007A4FF2">
        <w:t xml:space="preserve"> </w:t>
      </w:r>
    </w:p>
    <w:p w:rsidR="002129A3" w:rsidRPr="007A4FF2" w:rsidRDefault="002129A3" w:rsidP="002129A3">
      <w:pPr>
        <w:ind w:left="720"/>
        <w:jc w:val="both"/>
      </w:pPr>
    </w:p>
    <w:p w:rsidR="002129A3" w:rsidRPr="00AE69DA" w:rsidRDefault="00B00EA2" w:rsidP="002129A3">
      <w:pPr>
        <w:ind w:left="720"/>
        <w:jc w:val="both"/>
        <w:rPr>
          <w:color w:val="000000"/>
        </w:rPr>
      </w:pPr>
      <w:hyperlink r:id="rId8" w:history="1">
        <w:r w:rsidR="002129A3" w:rsidRPr="00CC4122">
          <w:rPr>
            <w:rStyle w:val="Hyperlink"/>
          </w:rPr>
          <w:t xml:space="preserve">Протокол за подаване на данни по чл. 9 към чл. 8, ал. 7 </w:t>
        </w:r>
      </w:hyperlink>
      <w:r w:rsidR="002129A3">
        <w:rPr>
          <w:color w:val="000000"/>
        </w:rPr>
        <w:t xml:space="preserve"> </w:t>
      </w:r>
    </w:p>
    <w:p w:rsidR="002129A3" w:rsidRPr="002C17B0" w:rsidRDefault="002129A3" w:rsidP="002129A3">
      <w:pPr>
        <w:overflowPunct w:val="0"/>
        <w:autoSpaceDE w:val="0"/>
        <w:autoSpaceDN w:val="0"/>
        <w:adjustRightInd w:val="0"/>
        <w:ind w:right="26" w:firstLine="720"/>
        <w:jc w:val="both"/>
        <w:textAlignment w:val="baseline"/>
        <w:rPr>
          <w:b/>
          <w:szCs w:val="20"/>
        </w:rPr>
      </w:pPr>
    </w:p>
    <w:p w:rsidR="002129A3" w:rsidRPr="006139F2" w:rsidRDefault="002129A3" w:rsidP="002129A3">
      <w:pPr>
        <w:ind w:firstLine="708"/>
      </w:pPr>
    </w:p>
    <w:p w:rsidR="002129A3" w:rsidRPr="006139F2" w:rsidRDefault="002129A3" w:rsidP="002129A3">
      <w:r w:rsidRPr="006139F2">
        <w:tab/>
      </w:r>
      <w:r w:rsidRPr="006139F2">
        <w:rPr>
          <w:b/>
        </w:rPr>
        <w:t>V</w:t>
      </w:r>
      <w:r w:rsidRPr="006139F2">
        <w:rPr>
          <w:b/>
          <w:lang w:val="en-US"/>
        </w:rPr>
        <w:t>II</w:t>
      </w:r>
      <w:r w:rsidRPr="006139F2">
        <w:rPr>
          <w:b/>
        </w:rPr>
        <w:t>. Такси</w:t>
      </w:r>
    </w:p>
    <w:p w:rsidR="002129A3" w:rsidRPr="006139F2" w:rsidRDefault="002129A3" w:rsidP="002129A3">
      <w:pPr>
        <w:ind w:firstLine="708"/>
      </w:pPr>
      <w:r w:rsidRPr="006139F2">
        <w:t>Съгласно разпоредбите на чл.3, ал.3 от ЗНАП, агенцията не събира такса.</w:t>
      </w:r>
    </w:p>
    <w:p w:rsidR="002129A3" w:rsidRPr="006139F2" w:rsidRDefault="002129A3" w:rsidP="002129A3">
      <w:pPr>
        <w:ind w:firstLine="708"/>
      </w:pPr>
    </w:p>
    <w:p w:rsidR="002129A3" w:rsidRPr="006139F2" w:rsidRDefault="002129A3" w:rsidP="002129A3">
      <w:pPr>
        <w:ind w:firstLine="708"/>
        <w:rPr>
          <w:rFonts w:ascii="Calibri" w:hAnsi="Calibri"/>
          <w:b/>
          <w:bCs/>
          <w:sz w:val="22"/>
          <w:szCs w:val="22"/>
        </w:rPr>
      </w:pPr>
      <w:r w:rsidRPr="006139F2">
        <w:rPr>
          <w:b/>
        </w:rPr>
        <w:t>V</w:t>
      </w:r>
      <w:r w:rsidRPr="006139F2">
        <w:rPr>
          <w:b/>
          <w:lang w:val="en-US"/>
        </w:rPr>
        <w:t>I</w:t>
      </w:r>
      <w:r w:rsidRPr="006139F2">
        <w:rPr>
          <w:b/>
        </w:rPr>
        <w:t>І</w:t>
      </w:r>
      <w:r w:rsidRPr="006139F2">
        <w:rPr>
          <w:b/>
          <w:lang w:val="en-US"/>
        </w:rPr>
        <w:t>I</w:t>
      </w:r>
      <w:r w:rsidRPr="006139F2">
        <w:rPr>
          <w:b/>
        </w:rPr>
        <w:t xml:space="preserve">. </w:t>
      </w:r>
      <w:r w:rsidRPr="006139F2">
        <w:rPr>
          <w:b/>
          <w:bCs/>
        </w:rPr>
        <w:t>Орган, осъществяващ контрол върху дейността по предоставяне на услугата</w:t>
      </w:r>
    </w:p>
    <w:p w:rsidR="002129A3" w:rsidRPr="006139F2" w:rsidRDefault="002129A3" w:rsidP="002129A3">
      <w:pPr>
        <w:ind w:firstLine="708"/>
      </w:pPr>
      <w:r w:rsidRPr="006139F2">
        <w:t>Прекия ръководител</w:t>
      </w:r>
    </w:p>
    <w:p w:rsidR="002129A3" w:rsidRPr="006139F2" w:rsidRDefault="002129A3" w:rsidP="002129A3">
      <w:pPr>
        <w:ind w:firstLine="708"/>
      </w:pPr>
    </w:p>
    <w:p w:rsidR="002129A3" w:rsidRPr="006139F2" w:rsidRDefault="002129A3" w:rsidP="002129A3">
      <w:pPr>
        <w:ind w:firstLine="708"/>
        <w:rPr>
          <w:b/>
        </w:rPr>
      </w:pPr>
      <w:r w:rsidRPr="006139F2">
        <w:rPr>
          <w:b/>
          <w:lang w:val="en-US"/>
        </w:rPr>
        <w:t>IX</w:t>
      </w:r>
      <w:r w:rsidRPr="006139F2">
        <w:rPr>
          <w:b/>
        </w:rPr>
        <w:t>. Електронен адрес за предложения по предоставяне на услугата</w:t>
      </w:r>
    </w:p>
    <w:p w:rsidR="002129A3" w:rsidRPr="006139F2" w:rsidRDefault="00B00EA2" w:rsidP="002129A3">
      <w:pPr>
        <w:ind w:firstLine="708"/>
      </w:pPr>
      <w:hyperlink r:id="rId9" w:history="1">
        <w:r w:rsidR="002129A3" w:rsidRPr="006139F2">
          <w:rPr>
            <w:color w:val="0000FF"/>
            <w:u w:val="single"/>
          </w:rPr>
          <w:t>infocenter@nra.bg</w:t>
        </w:r>
      </w:hyperlink>
    </w:p>
    <w:p w:rsidR="002129A3" w:rsidRPr="006139F2" w:rsidRDefault="002129A3" w:rsidP="002129A3"/>
    <w:p w:rsidR="002129A3" w:rsidRDefault="002129A3" w:rsidP="002129A3"/>
    <w:p w:rsidR="002129A3" w:rsidRPr="00BA78CA" w:rsidRDefault="002129A3" w:rsidP="002129A3">
      <w:pPr>
        <w:ind w:firstLine="708"/>
        <w:rPr>
          <w:b/>
          <w:color w:val="000000"/>
        </w:rPr>
      </w:pPr>
      <w:r w:rsidRPr="00BA78CA">
        <w:rPr>
          <w:b/>
          <w:color w:val="000000"/>
          <w:lang w:val="en-US"/>
        </w:rPr>
        <w:t>X</w:t>
      </w:r>
      <w:r w:rsidRPr="00BA78CA">
        <w:rPr>
          <w:b/>
          <w:color w:val="000000"/>
          <w:lang w:val="ru-RU"/>
        </w:rPr>
        <w:t xml:space="preserve">. </w:t>
      </w:r>
      <w:r w:rsidRPr="00BA78CA">
        <w:rPr>
          <w:b/>
          <w:color w:val="000000"/>
        </w:rPr>
        <w:t>Начин на предоставяне на резултата от услугата:</w:t>
      </w:r>
    </w:p>
    <w:p w:rsidR="002129A3" w:rsidRDefault="002129A3" w:rsidP="002129A3">
      <w:pPr>
        <w:pStyle w:val="ListParagraph"/>
        <w:numPr>
          <w:ilvl w:val="0"/>
          <w:numId w:val="2"/>
        </w:numPr>
        <w:tabs>
          <w:tab w:val="left" w:pos="430"/>
        </w:tabs>
        <w:spacing w:after="0" w:line="240" w:lineRule="auto"/>
        <w:rPr>
          <w:rFonts w:ascii="Times New Roman" w:hAnsi="Times New Roman"/>
          <w:sz w:val="24"/>
          <w:szCs w:val="24"/>
          <w:lang w:val="bg-BG"/>
        </w:rPr>
      </w:pPr>
      <w:r>
        <w:rPr>
          <w:rFonts w:ascii="Times New Roman" w:hAnsi="Times New Roman"/>
          <w:sz w:val="24"/>
          <w:szCs w:val="24"/>
          <w:lang w:val="bg-BG"/>
        </w:rPr>
        <w:t>В офис на НАП - лично или от упълномощено лице (не се изисква нотариално заверено пълномощно)</w:t>
      </w:r>
    </w:p>
    <w:p w:rsidR="002129A3" w:rsidRDefault="002129A3" w:rsidP="002129A3">
      <w:pPr>
        <w:pStyle w:val="ListParagraph"/>
        <w:numPr>
          <w:ilvl w:val="0"/>
          <w:numId w:val="2"/>
        </w:numPr>
        <w:tabs>
          <w:tab w:val="left" w:pos="430"/>
        </w:tabs>
        <w:spacing w:after="0" w:line="240" w:lineRule="auto"/>
        <w:rPr>
          <w:rFonts w:ascii="Times New Roman" w:hAnsi="Times New Roman"/>
          <w:sz w:val="24"/>
          <w:szCs w:val="24"/>
          <w:lang w:val="bg-BG"/>
        </w:rPr>
      </w:pPr>
      <w:r>
        <w:rPr>
          <w:rFonts w:ascii="Times New Roman" w:hAnsi="Times New Roman"/>
          <w:sz w:val="24"/>
          <w:szCs w:val="24"/>
          <w:lang w:val="bg-BG"/>
        </w:rPr>
        <w:t xml:space="preserve">Чрез лицензиран пощенски оператор </w:t>
      </w:r>
    </w:p>
    <w:p w:rsidR="002129A3" w:rsidRDefault="002129A3" w:rsidP="002129A3">
      <w:pPr>
        <w:pStyle w:val="ListParagraph"/>
        <w:numPr>
          <w:ilvl w:val="0"/>
          <w:numId w:val="2"/>
        </w:numPr>
        <w:tabs>
          <w:tab w:val="left" w:pos="430"/>
        </w:tabs>
        <w:spacing w:after="0" w:line="240" w:lineRule="auto"/>
        <w:rPr>
          <w:rFonts w:ascii="Times New Roman" w:hAnsi="Times New Roman"/>
          <w:sz w:val="24"/>
          <w:szCs w:val="24"/>
          <w:lang w:val="bg-BG"/>
        </w:rPr>
      </w:pPr>
      <w:r>
        <w:rPr>
          <w:rFonts w:ascii="Times New Roman" w:hAnsi="Times New Roman"/>
          <w:sz w:val="24"/>
          <w:szCs w:val="24"/>
          <w:lang w:val="bg-BG"/>
        </w:rPr>
        <w:t>По електронен път</w:t>
      </w:r>
    </w:p>
    <w:p w:rsidR="002129A3" w:rsidRDefault="002129A3" w:rsidP="002129A3"/>
    <w:p w:rsidR="0058702A" w:rsidRDefault="0058702A"/>
    <w:sectPr w:rsidR="0058702A" w:rsidSect="006E656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34DD3"/>
    <w:multiLevelType w:val="hybridMultilevel"/>
    <w:tmpl w:val="72F4679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 w15:restartNumberingAfterBreak="0">
    <w:nsid w:val="6972144E"/>
    <w:multiLevelType w:val="hybridMultilevel"/>
    <w:tmpl w:val="B7C6CCF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A3"/>
    <w:rsid w:val="002129A3"/>
    <w:rsid w:val="0058702A"/>
    <w:rsid w:val="00755D86"/>
    <w:rsid w:val="00845E84"/>
    <w:rsid w:val="00920F50"/>
    <w:rsid w:val="00B00E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ECFC"/>
  <w15:chartTrackingRefBased/>
  <w15:docId w15:val="{3DA31A38-389F-40E4-8630-E180834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A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A3"/>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2129A3"/>
    <w:rPr>
      <w:color w:val="0000FF"/>
      <w:u w:val="single"/>
    </w:rPr>
  </w:style>
  <w:style w:type="character" w:customStyle="1" w:styleId="newdocreference1">
    <w:name w:val="newdocreference1"/>
    <w:rsid w:val="002129A3"/>
    <w:rPr>
      <w:i w:val="0"/>
      <w:iCs w:val="0"/>
      <w:color w:val="0000FF"/>
      <w:u w:val="single"/>
    </w:rPr>
  </w:style>
  <w:style w:type="paragraph" w:styleId="BlockText">
    <w:name w:val="Block Text"/>
    <w:basedOn w:val="Normal"/>
    <w:rsid w:val="002129A3"/>
    <w:pPr>
      <w:overflowPunct w:val="0"/>
      <w:autoSpaceDE w:val="0"/>
      <w:autoSpaceDN w:val="0"/>
      <w:adjustRightInd w:val="0"/>
      <w:ind w:left="-900" w:right="-874" w:firstLine="540"/>
      <w:textAlignment w:val="baseline"/>
    </w:pPr>
    <w:rPr>
      <w:szCs w:val="20"/>
    </w:rPr>
  </w:style>
  <w:style w:type="paragraph" w:customStyle="1" w:styleId="Style">
    <w:name w:val="Style"/>
    <w:rsid w:val="002129A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bg/page?sId1378fsL=66&amp;sId1378dsA=2020&amp;id=466&amp;textMode=0" TargetMode="External"/><Relationship Id="rId3" Type="http://schemas.openxmlformats.org/officeDocument/2006/relationships/settings" Target="settings.xml"/><Relationship Id="rId7" Type="http://schemas.openxmlformats.org/officeDocument/2006/relationships/hyperlink" Target="https://nap.bg/page?sId1378fsL=66&amp;sId1378dhttps://nap.bg/page?sId1378fsL=66&amp;sId1378dsA=2020&amp;id=466&amp;textMode=0sA=2020&amp;id=466&amp;text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etdec.nra.bg" TargetMode="External"/><Relationship Id="rId11" Type="http://schemas.openxmlformats.org/officeDocument/2006/relationships/theme" Target="theme/theme1.xml"/><Relationship Id="rId5" Type="http://schemas.openxmlformats.org/officeDocument/2006/relationships/hyperlink" Target="http://nap.bg/page?id=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enter@nr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ВАСИЛЕВА БОЯДЖИЕВА</dc:creator>
  <cp:keywords/>
  <dc:description/>
  <cp:lastModifiedBy>МАРИЯ МАКСИМОВА ЦВЕТКОВА</cp:lastModifiedBy>
  <cp:revision>2</cp:revision>
  <dcterms:created xsi:type="dcterms:W3CDTF">2020-12-29T19:25:00Z</dcterms:created>
  <dcterms:modified xsi:type="dcterms:W3CDTF">2020-12-29T19:25:00Z</dcterms:modified>
</cp:coreProperties>
</file>